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f5aa59768442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12245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BLATO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2.009.262,88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2.152.310,23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1.920.501,09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2.347.260,22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194.949,99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34.072,83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34.265,47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34.072,83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34.265,47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229.215,46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Značajno povećanje ukupnih prihoda škole u usporedbi sa istim razdobljem prethodne godine za 7,1 % rezultat je uplata sredstava za Erasmus + projekte, uplate sredstava od MZOM-a za B1 (izvannastavne) i B2 (izvanškolske aktivnosti) te veće uplate sredstava za udžbenike i radne bilježnice učenicima škole u 2025.god i većih prihoda za financiranje bruto plaće i materijalnih prava zaposlenicima i pomoćnicama u nastavi za razliku od 2024.</w:t>
      </w:r>
    </w:p>
    <w:p>
      <w:r>
        <w:t xml:space="preserve">Osnovna škola Blato imala je  rashode poslovanja  veće za 22,2 % u usporedbi sa istim razdobljem prošle godine. Do povećanja je došlo zbog povećanja rashoda poslovanja kroz B1 i B2 aktivnosti  u školi, te povećanja rashoda kroz projekt "Malih darovnica" za koje je škola dobila sredstva još u prošloj kalendarskoj godini, a  realizira ih u ovoj i uključivanja rashoda za plaću od prosinac/2025 u financijski izvještaj za 2025.godinu. </w:t>
      </w:r>
    </w:p>
    <w:p>
      <w:r>
        <w:t xml:space="preserve">Osnovna škola Blato ima manjak prihoda i primitaka u navedenom razdoblju u iznosu od 229.215,46 EUR-a koji je rezultat donošenja novog Pravilnika o proračunskom računovodstvu koji je donio značajne novine u knjigovodstvenim evidentiranjima koji se odnosi na rashode za zaposlene pa su tako u ovom obračunskom razdoblju uključeni rashodi bruto plaće za prosinac tekuće godine dok isti nisu bili uključeni u istom razdoblju prethodne godine, a što je razlog velikom manjku prihoda i primitaka u tekućem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1.740.959,03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1.847.336,83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106,1</w:t>
            </w:r>
          </w:p>
        </w:tc>
      </w:tr>
    </w:tbl>
    <w:p>
      <w:pPr>
        <w:spacing w:before="0" w:after="0"/>
      </w:pPr>
    </w:p>
    <w:p>
      <w:r>
        <w:t xml:space="preserve">Do povećanja ukupnih prihoda dolazi zbog povećanja prihoda za isplatu bruto plaće zaposlenika zbog povećanja osnovice za izračun plaće od 1.ožujka 2025.godine za 3% u javnim službama te dodatnog povećanja osnovice za 3% koja se počela primjenjivati s plaćom za mjesec rujan koja se isplaćuje u mjesecu listopadu 2025. i povećanja prihoda za financiranja B1 i B2 aktivnosti i  u sklopu projekta CDŠ-a.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19.527,80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26.835,23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137,4</w:t>
            </w:r>
          </w:p>
        </w:tc>
      </w:tr>
    </w:tbl>
    <w:p>
      <w:pPr>
        <w:spacing w:before="0" w:after="0"/>
      </w:pPr>
    </w:p>
    <w:p>
      <w:r>
        <w:t xml:space="preserve">Primici po osnovi novčanih sredstava na ovoj stavci su bespovratna sredstva u okviru programa ERASMUS+  u svrhu stručnog usavršavanje učitelja i nastavnika, ravnatelja i drugog školskog osoblja koji su veći za 37,4% u usporedbi sa istim razdobljem prethodne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7.682,05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2,0</w:t>
            </w:r>
          </w:p>
        </w:tc>
      </w:tr>
    </w:tbl>
    <w:p>
      <w:pPr>
        <w:spacing w:before="0" w:after="0"/>
      </w:pPr>
    </w:p>
    <w:p>
      <w:r>
        <w:t xml:space="preserve">Iznos na ovoj šifri od 7.682,05 EUR-a za prethodnu godinu  sastoji se od uplata roditelja za osiguranje učenika, uplata učenika za školske testove i uplata učenika za troškove prijevoza na izlet. Razlog smanjenju navedenih troškova u 2025.godini za 98% nije zbog toga što škola nije imala navedene troškove već upute Ministarstva financija da sredstva koja škola prikupi od učenika ne evidentira na prihodima već kontu potraživanja za predujmove.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17.248,50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9.741,69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56,5</w:t>
            </w:r>
          </w:p>
        </w:tc>
      </w:tr>
    </w:tbl>
    <w:p>
      <w:pPr>
        <w:spacing w:before="0" w:after="0"/>
      </w:pPr>
    </w:p>
    <w:p>
      <w:r>
        <w:t xml:space="preserve">Pad navedenih primitaka za 43,50 % u usporedbi sa prethodnom godinom nastao je zbog toga što je škola primala uplate od roditelja u prvom polugodištu školske godine 2024/2025 budući su podijeljene samo dvije rate  roditeljima, a ne kao prije deset pa se to odrazilo na pad prihoda u 2025 u usporedbi sa 2024.godinom.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34,8</w:t>
            </w:r>
          </w:p>
        </w:tc>
      </w:tr>
    </w:tbl>
    <w:p>
      <w:pPr>
        <w:spacing w:before="0" w:after="0"/>
      </w:pPr>
    </w:p>
    <w:p>
      <w:r>
        <w:t xml:space="preserve">Na navedenoj stavci škola je imala pad navedenih donacija u iznosu od 65,20% u usporedbi sa istim razdobljem prethodne godine budući je škola u 2024-oj godini imala prikupljene donacije od zaposlenika škole za kupnju klime dok ove godine škola ima donacije od pravnih osoba za financiranje festivala dječjih klapa i večere osmaša.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189.356,16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238.117,84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125,8</w:t>
            </w:r>
          </w:p>
        </w:tc>
      </w:tr>
    </w:tbl>
    <w:p>
      <w:pPr>
        <w:spacing w:before="0" w:after="0"/>
      </w:pPr>
    </w:p>
    <w:p>
      <w:r>
        <w:t xml:space="preserve">Na navedenoj stavci škola je imala rast navedenih prihoda u iznosu od 25,80% u usporedbi sa istim razdoblje prethodne godine što je rezultat porasta prihoda kojim su financirana materijalna prava pomoćnicama u nastavi i bruto plaće (koje su povećane)i kojih je bilo 12 u tekućoj godini, za razliku od prošle godine, budući su ugovori pomoćnicama produženi do 31.08.2025.godine.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1.257.557,64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1.547.553,14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r>
        <w:t xml:space="preserve">Na navedenoj stavci škola je imala porast navedenih rashoda za bruto plaće djelatnika u iznosu od 23,10 % u usporedbi sa istim razdobljem prethodne godine, a razlog je povećanje osnovice plaće za 3% od veljače i dodatnih 3% od rujna, međutim do značajnog povećanja  došlo je zbog donošenja novog Pravilnika o proračunskom računovodstvu koji je donio značajne novine u knjigovodstvenim evidentiranjima koji se odnosi na rashode za zaposlene pa su tako u ovom obračunskom razdoblju uključeni rashodi materijalnih prava i bruto plaće za prosinac tekuće godine dok isti nisu bili uključeni u istom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208.699,47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257.075,58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Navedeni trošak obračunava se u postotku od 15,5 % na bruto plaće djelatnika škole i njegovo povećanje za 23,20 % u usporedbi sa prošlom godinom rezultat je porasta osnovice plaće za 3% u veljači i rujnu i već prethodno navedeno donošenje novog Pravilnika temeljem kojeg su na ovoj poziciji uključeni doprinosi na plaću za mjesec prosinac dok to nije bilo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12.788,86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17.378,86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135,9</w:t>
            </w:r>
          </w:p>
        </w:tc>
      </w:tr>
    </w:tbl>
    <w:p>
      <w:pPr>
        <w:spacing w:before="0" w:after="0"/>
      </w:pPr>
    </w:p>
    <w:p>
      <w:r>
        <w:t xml:space="preserve">Navedeni troškovi obuhvaćaju isplaćene dnevnice profesorima na službenom putu, noćenje i putne troškove, a rast od 35,90 % u odnosu na prethodnu godinu je posljedica većeg broja  dodatnih edukacija koje su se održavale zbog uvođenja CDŠ i odlazaka učitelja na izlete sa učenicima kroz B1 (izvannastavne) aktivnosti  koje se održavaju u školi u sklopu projekta CDŠ-a.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22.467,58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Porast navedenih troškova  od 6,0 % u usporedbi sa istim razdobljem prethodne godine rezultat je povećanog broja novih djelatnika koji putuju na posao sa svojim autom i zapošljavanja četiri pomoćnice u nastavi kojima se isto isplaćuje prijevoz dok je naknada za odvojeni život ostala na nivou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10.783,85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14.472,75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134,2</w:t>
            </w:r>
          </w:p>
        </w:tc>
      </w:tr>
    </w:tbl>
    <w:p>
      <w:pPr>
        <w:spacing w:before="0" w:after="0"/>
      </w:pPr>
    </w:p>
    <w:p>
      <w:r>
        <w:t xml:space="preserve">Značajno povećanje navedenih troškova odnosi se troškove putovanja za stručno usavršavanje u Sloveniju i Portugal kroz Erasmus  projekt u tekućoj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113.187,32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153.336,51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135,5</w:t>
            </w:r>
          </w:p>
        </w:tc>
      </w:tr>
    </w:tbl>
    <w:p>
      <w:pPr>
        <w:spacing w:before="0" w:after="0"/>
      </w:pPr>
    </w:p>
    <w:p>
      <w:r>
        <w:t xml:space="preserve">Rast navedenih troškova za 35,50% u usporedbi sa istim razdobljem prethodne godine rezultat je troškova koje škola ima zbog izvođenja B1 (izvannastavnih) aktivnosti i uključivanja rashoda za namirnice od prosinca/2025 u tekuću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11.865,71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411,8</w:t>
            </w:r>
          </w:p>
        </w:tc>
      </w:tr>
    </w:tbl>
    <w:p>
      <w:pPr>
        <w:spacing w:before="0" w:after="0"/>
      </w:pPr>
    </w:p>
    <w:p>
      <w:r>
        <w:t xml:space="preserve">Porast navedenih rashoda za 311,80% u usporedbi sa prošlom godinom je zbog investicijsgog održavanja škole koje je financirala županija, a radi se o izmjeni rasvjete u školi sa energetski učinkovitijom.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916,6</w:t>
            </w:r>
          </w:p>
        </w:tc>
      </w:tr>
    </w:tbl>
    <w:p>
      <w:pPr>
        <w:spacing w:before="0" w:after="0"/>
      </w:pPr>
    </w:p>
    <w:p>
      <w:r>
        <w:t xml:space="preserve">Porast navedenog troška u iznosu od 816,60% u usporedbi sa istim razdobljem prethodne godine je zbog toga što je za 10 djelatnika u 2025.godini plaćena polica za sistematske preglede dok u istom razdoblju prethodne nismo imali taj trošak.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8.590,48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49,3</w:t>
            </w:r>
          </w:p>
        </w:tc>
      </w:tr>
    </w:tbl>
    <w:p>
      <w:pPr>
        <w:spacing w:before="0" w:after="0"/>
      </w:pPr>
    </w:p>
    <w:p>
      <w:r>
        <w:t xml:space="preserve">Razlog pada navedene usluge u tekućoj godini je zbog toga što škola nije sklopila Ugovor o djelu sa profesorima u OGŠ već su isti radili preko ugovora o radu.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37.061,43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56.538,62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r>
        <w:t xml:space="preserve">Porast navedenih troškova za 52,60% u odnosu na prošlu godinu je zbog troškova izvanškolskih aktivnosti u sklopu eksperimentalnog projekta CDŠ budući od ove školske godine škola  ima pet izvanškolskih aktivnosti dok je prošle imala samo dvije.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7.302,57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17.109,86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234,3</w:t>
            </w:r>
          </w:p>
        </w:tc>
      </w:tr>
    </w:tbl>
    <w:p>
      <w:pPr>
        <w:spacing w:before="0" w:after="0"/>
      </w:pPr>
    </w:p>
    <w:p>
      <w:r>
        <w:t xml:space="preserve">Porast navedenih troškova za 134,30% u odnosu na prošlu godinu je zbog troškova noćenja i ulaznica za učenike i učitelje u sklopu B1 aktivnosti koji su veći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56.469,58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r>
        <w:t xml:space="preserve">Rast navedenih troškova za 6,60% odnosi na kupljene radne bilježnice i radne udžbenike te dodatne obrazovne materijale (DOM) i eksperimentalne odgojno-obrazovne materijale (EOOM) za učenike osnovnih škola koje sudjeluju u provedbi EP-a, a čiji su troškovi nabave bili manji u prošloj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146.408,65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Utvrđen je manjak prihoda i primitaka poslovanja u iznosu od 229.215,46 EUR-a  što sa prenesenim viškom od 82.806,81 EUR-a  iz  2024. godine daje manjak prihoda raspoloživ u sljedećem razdoblju od 146.408,65 EUR-a (Šifra Y006). </w:t>
      </w:r>
    </w:p>
    <w:p>
      <w:r>
        <w:t xml:space="preserve">Manjak prihoda i primitaka za pokriće u sljedećem razdoblju od 146.408,65 EUR-a rezultat je donošenja Pravilnika o proračunskom računovodstvu koji je donio značajne novine u knjigovodstvenim evidentiranjima koji se odnosi na rashode za zaposlene pa su tako u ovom obračunskom razdoblju uključeni rashodi bruto plaće i materijalnih prava za prosinac tekuće godine dok isti nisu bili uključeni u istom razdoblju prethodne godine. Isto tako računi za prehranu učenika uključeni su u 2025.godinu dok će MZOM navedena sredstva školi isplatiti tek u 2026.godini.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600.193,45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601.582,20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100,2</w:t>
            </w:r>
          </w:p>
        </w:tc>
      </w:tr>
    </w:tbl>
    <w:p>
      <w:pPr>
        <w:spacing w:before="0" w:after="0"/>
      </w:pPr>
    </w:p>
    <w:p>
      <w:r>
        <w:t xml:space="preserve">Vrijednost zgrade povećana je za 1388,75 EUR-a kroz investicijsko ulaganje za energetsku obnovu tj. izradu Elaborata optimalnog tehničkog rješenja priključenja korisnika na distribucijsku elektroenergetsku mrežu (EOTRP) za građevinu Osnovne škole Blato i izvedene geodetske radove.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11.383,10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12.758,10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</w:tbl>
    <w:p>
      <w:pPr>
        <w:spacing w:before="0" w:after="0"/>
      </w:pPr>
    </w:p>
    <w:p>
      <w:r>
        <w:t xml:space="preserve">Vrijednost navedene opreme povećana je za 1.375,00 EUR-a, a radi se o mikroskopu za kabinet biologije i kemije koji je kupljen od sredstava doznačenih od strane MZOM-a za financiranje B1 aktivnosti (izvannastavnih) u sklopu projekta cjelodnevne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65.750,97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69.529,13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</w:tbl>
    <w:p>
      <w:pPr>
        <w:spacing w:before="0" w:after="0"/>
      </w:pPr>
    </w:p>
    <w:p>
      <w:r>
        <w:t xml:space="preserve">Vrijednost navedene opreme povećana je za 3.778,16 EUR-a, a radi se o nabavi stroja za rezanje kruha u iznosu od 1.479,16 EUR-a kupljenog iz vlastitih sredstava i kuhinje u iznosu od 2.299,00 EUR-a kupljene od sredstava za B1 (izvannastavne) aktivnosti u sklopu projekta CDŠ-a.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40.292,05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37.735,78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93,7</w:t>
            </w:r>
          </w:p>
        </w:tc>
      </w:tr>
    </w:tbl>
    <w:p>
      <w:pPr>
        <w:spacing w:before="0" w:after="0"/>
      </w:pPr>
    </w:p>
    <w:p>
      <w:r>
        <w:t xml:space="preserve">Temeljem zaprimljenih računa od dobavljača za udžbenike, školske godine 2025/2026, škola je udžbenike evidentirala kao vlastitu imovinu na osnovnom računu 02441-Knjige u vrijednosti od 590,28 EUR-a , a vrijednost knjiga za školsku lektiru u školskoj knjižnici povećana je za 681,64 EUR-a dok su u rujnu 2025 godine udžbenici iz školske godine 2021/2022 isknjiženi iz knjigovodstvene evidencije u iznosu od 3.828,19 EUR-a.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</w:tbl>
    <w:p>
      <w:pPr>
        <w:spacing w:before="0" w:after="0"/>
      </w:pPr>
    </w:p>
    <w:p>
      <w:r>
        <w:t xml:space="preserve">Navedeno potraživanje u iznosu od 3.391,21 EUR-a odnosi se na potraživanja za bolovanja djelatnika preko 42 dana na teret HZZO-a koja je isplatilo MZOM djelatnicima škole, a čeka se refundacija od HZZO-a tj.obavijest o zatvaranju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na ovoj stavci u glavnoj knjizi odnosi se na sredstva (obračunske obveze) koja HZZO treba  uplatiti u državnu riznicu, po osnovi bolovanja iznad 42 dana jer su te naknade isplaćene djelatnicima škole prilikom isplata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138.551,66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navedenoj stavci radi se o obračunatim prihodima za plaću prosinca 2025 godine koje će škola dobiti od MZOM-a tek u siječnju 2026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31.838,41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Izvještaj o promjenama u vrijednosti i obujmu imovine i obveza sadrži podatke o promjenama u vrijednosti i obujmu imovine i obveza za koje nisu rezultat transakcija koja se iskazuje kao prihodi, primici, rashodi i izdaci.</w:t>
      </w:r>
    </w:p>
    <w:p>
      <w:r>
        <w:t xml:space="preserve">Smanjenje proizvedene dugotrajne imovine u iznosu od 31.838,41 EUR-a u 2025.godini odnosi se na redovnu godišnju amortizaciju imovine u navedenom iznosu.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31.12.2025. godine škola je podmirila sve dospjele obveze tj. nema dospjelih obveza prema svojim dobavljačima.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je u 2025.godini dobila sredstva u iznosu od 22.084,00 EUR-a za Erasmus +mobilnost pojedinaca od kojeg je realizirala sredstva u iznosu od  4.357,69 Eura dok je od projekta iz 2024.godine ostalo 4.340,79 EUR-a 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b909a5f6b4145" /></Relationships>
</file>